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8" w:rsidRDefault="00AC2FB1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/>
          <w:bCs/>
          <w:color w:val="000000"/>
          <w:kern w:val="0"/>
          <w:sz w:val="32"/>
          <w:szCs w:val="32"/>
        </w:rPr>
        <w:t>附件</w:t>
      </w:r>
      <w:r w:rsidR="00196902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1</w:t>
      </w:r>
    </w:p>
    <w:p w:rsidR="00F01608" w:rsidRDefault="00F01608"/>
    <w:p w:rsidR="00F01608" w:rsidRDefault="00AC2FB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深圳市科协科学家精神讲师团名单及简介</w:t>
      </w:r>
    </w:p>
    <w:p w:rsidR="00F01608" w:rsidRDefault="00AC2FB1">
      <w:pPr>
        <w:jc w:val="center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（共</w:t>
      </w:r>
      <w:r w:rsidR="00FB450C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22</w:t>
      </w:r>
      <w:r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名，排名不分先后）</w:t>
      </w:r>
    </w:p>
    <w:tbl>
      <w:tblPr>
        <w:tblW w:w="15180" w:type="dxa"/>
        <w:tblInd w:w="94" w:type="dxa"/>
        <w:tblLook w:val="04A0"/>
      </w:tblPr>
      <w:tblGrid>
        <w:gridCol w:w="660"/>
        <w:gridCol w:w="1228"/>
        <w:gridCol w:w="1988"/>
        <w:gridCol w:w="1460"/>
        <w:gridCol w:w="1320"/>
        <w:gridCol w:w="1360"/>
        <w:gridCol w:w="4824"/>
        <w:gridCol w:w="2340"/>
      </w:tblGrid>
      <w:tr w:rsidR="00F01608">
        <w:trPr>
          <w:trHeight w:val="79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Pr="00BD1D7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Pr="00BD1D7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F01608" w:rsidRPr="00BD1D7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工作单位及职务职称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Pr="00BD1D7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最高学位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Pr="00BD1D7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Pr="00BD1D7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</w:tcPr>
          <w:p w:rsidR="00F01608" w:rsidRPr="00BD1D7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学术研究（含科普工作）成果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</w:tcPr>
          <w:p w:rsidR="00F01608" w:rsidRPr="00BD1D78" w:rsidRDefault="00AC2FB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D1D7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拟授课主题</w:t>
            </w:r>
          </w:p>
        </w:tc>
      </w:tr>
      <w:tr w:rsidR="00F01608">
        <w:trPr>
          <w:trHeight w:val="18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郑永春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中国科学院国家天文台研究员，中国科学技术大学兼职教授，中国科普作家协会副理事长。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1977年3月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9A5E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 w:rsidRPr="009A5ED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月球与深空探测、行星科学研究，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国内外专业期刊发表学术论文若干篇，编著科普专著译著15部，先后被评为全国十大科学传播人物、获中国科学院院长奖、中国首次月球探测工程圆满成功有功人员奖、探月工程嫦娥二号任务突出贡献者奖、香江学者奖、中国科学新闻人物提名奖、中国科协成立六十周年“百名科学家、百名基层科技工作者”代表、中国科技新闻学会科技传播奖等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月球的奥秘</w:t>
            </w:r>
          </w:p>
        </w:tc>
      </w:tr>
      <w:tr w:rsidR="00F01608">
        <w:trPr>
          <w:trHeight w:val="16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何进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北京大学微电子学研究院教授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1966年12月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9A5E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 w:rsidRPr="009A5ED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微电子学、 集成电路、半导体研究，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参加或主持科研项目50多项, 发表论文500多篇（被SCI收录近200余篇，EI收录250多篇，国际引用或下载超过一万余次），先后获各类奖励10多项，获授权中国发明专利30项和美国发明专利1项，已获得中国软件著作权授权20项，出版中文著作3部， 编写英文专著六章节。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后摩尔时代半导体器件发展与思考</w:t>
            </w:r>
          </w:p>
        </w:tc>
      </w:tr>
      <w:tr w:rsidR="00F01608">
        <w:trPr>
          <w:trHeight w:val="12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张传伦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南方科技大学海洋科学与工程系教授、兼任教学副系主任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1962年2月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9A5E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从事微生物海洋学研究，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创建海洋地球</w:t>
            </w:r>
            <w:proofErr w:type="gramStart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古菌组学重点</w:t>
            </w:r>
            <w:proofErr w:type="gramEnd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实验室，提出构造微生物学新概念，在国际地球科学和生命科学期刊发表学术论文200余篇，其中180余篇被SCI收录，引用次数超过8380次，H-index为55。目前担任1本期刊主编和2本期刊编委。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微生物海洋学</w:t>
            </w:r>
          </w:p>
        </w:tc>
      </w:tr>
      <w:tr w:rsidR="00F01608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陈建飞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南方科技大学海洋科学与工程系教授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1963年12月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Pr="009A5EDA" w:rsidRDefault="009A5EDA" w:rsidP="009A5EDA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9A5EDA">
              <w:rPr>
                <w:rFonts w:ascii="仿宋_GB2312" w:eastAsia="仿宋_GB2312" w:cs="宋体"/>
                <w:kern w:val="0"/>
                <w:sz w:val="20"/>
                <w:szCs w:val="20"/>
              </w:rPr>
              <w:t>研究领域为海洋工程， 土木工程， 结构工程， 纤维增强复合材料(FRP)， 漂浮平台，有限元方法， 离散元方法， 离散颗粒材料， 高性能混凝土。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十三五国家重点研发计划子课题负责人，承担科技项目20余项，在国内外专业期刊发表高水平学术论文20余篇，编写英文</w:t>
            </w:r>
            <w:proofErr w:type="gramStart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专注四</w:t>
            </w:r>
            <w:proofErr w:type="gramEnd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章节，发明专利2项。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土木与环境工程</w:t>
            </w:r>
          </w:p>
        </w:tc>
      </w:tr>
      <w:tr w:rsidR="00F01608">
        <w:trPr>
          <w:trHeight w:val="21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刘正白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南方科技大学教授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1954年12月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具有深厚的理论基础和极强的发明能力, 主要从事发动机燃烧机理研究和关键零部件设计。在国际一流刊物和国际会议上发表45篇学术论文。在美国获得了29项发明专利。在欧共体，加拿大，日本，韩国，墨西哥，巴西，中国也有多项专利。出版一本《燃烧学》专著。曾在担任东风汽车公司技术中心首席总工程师期间，作为项目负责人，完成了四代柴油机产品燃烧系统的开发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燃烧学</w:t>
            </w:r>
            <w:proofErr w:type="gramEnd"/>
          </w:p>
        </w:tc>
      </w:tr>
      <w:tr w:rsidR="00F01608">
        <w:trPr>
          <w:trHeight w:val="22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庞建新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深圳市优必选科技股份有限公司 副总裁，研究院副院长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致公党员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1982年1月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要研究领域是人工智能和智能机器人关键技术研发和产业化，累计申请超过180项国内外技术专利，已获得50多项发明专利授权，同时在学术期刊和会议上发表论文近20篇学术论文，直接参与机器人相关国家标准制定2项，人工智能相关团体标准2项，领导团队参与国际和国家标准的制定22项（已发布8项），获得1项广东省技术发明二等奖，1项吴文俊人工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能科技进步二等奖，主导了一系列有影响力的产品和技术，实现了数十亿的销量。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人工智能关键技术研发及产业化</w:t>
            </w:r>
          </w:p>
        </w:tc>
      </w:tr>
      <w:tr w:rsidR="00F01608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蔡明刚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厦门大学海洋与地球学院教授、院长助理，福建省高校重点实验室主任，海洋与海岸带发展研究院兼职教授。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1974年1月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第3、5次北极科学考察队队员，先后主持包括9项国家自然科学基金在内的国家及省部级项目30余项。以第一或通讯作者身份发表包括环境科学、海洋科学Top期刊在内的SCI论文70余篇，其中塑料领域文章近10篇。获得专利授权12项，获得多项省部级奖项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了解海洋生物、保护生态环境</w:t>
            </w:r>
          </w:p>
        </w:tc>
      </w:tr>
      <w:tr w:rsidR="00F01608">
        <w:trPr>
          <w:trHeight w:val="19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刘新科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深圳大学研究员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1985年4月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从事致力</w:t>
            </w:r>
            <w:proofErr w:type="spell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GaN</w:t>
            </w:r>
            <w:proofErr w:type="spell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及其异质结的半导体器件研究，目前承担国家基金委自然科学基金，科技部重点研发计划课题和任务，广东省重点研发计划，深圳市基础布局等10多项科研项目，以第一或通信作者发表85篇SCI (h-index 20)，授权专利11项并实现11项专利转让。获得广东省本科高校在线教学优秀案例一等奖，入选全球2019年度科学影响力排行榜(美国斯坦福大学全球前2%科学家，应用物理方向)。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微电子</w:t>
            </w:r>
          </w:p>
        </w:tc>
      </w:tr>
      <w:tr w:rsidR="00F01608">
        <w:trPr>
          <w:trHeight w:val="25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钟华红（女）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暨南大学附属深圳市眼科医院，小儿眼科，主任医师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九三学社社员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1975年1月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山大学中山眼科中心临床医学博士毕业，主任医师，现于暨南大学附属深圳眼科医院斜弱视及小儿眼科工作，从事眼科临床工作20余年。参与并主持多项省、市级科研课题，其中课题获得“中华科技进步奖”等，在SCI、国家级及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省级等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眼科杂志以前三作者发表论文30余篇，参与编写《共焦显微镜临床应用指南》（人民卫生出版社）。现主要从事临床斜弱视及小儿眼科、青少年近视防控及葡萄膜炎等疾病的诊断及治疗。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眼球里的微观世界</w:t>
            </w:r>
          </w:p>
        </w:tc>
      </w:tr>
      <w:tr w:rsidR="00F01608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董超</w:t>
            </w:r>
            <w:proofErr w:type="gramEnd"/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中国科学院深圳先进技术研究院数字所，副研究员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1989年2月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9A5ED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9A5EDA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人工智能，计算机视觉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发表论文40余篇，</w:t>
            </w:r>
            <w:proofErr w:type="gramStart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谷歌学术</w:t>
            </w:r>
            <w:proofErr w:type="gramEnd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引用量&gt;14300。深度学习超分辨率算法开创者，并获得多项</w:t>
            </w:r>
            <w:proofErr w:type="gramStart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国际超</w:t>
            </w:r>
            <w:proofErr w:type="gramEnd"/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分辨率比赛冠军。2021年被斯坦福大学评为世界前2%顶尖科学家。申请专利32项，其中授权专利7项，与商汤科技联合开发的超分产品的市场占有率国内第一。目前，主持多项重点项目。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人工智能、计算机视觉</w:t>
            </w:r>
          </w:p>
        </w:tc>
      </w:tr>
      <w:tr w:rsidR="00F01608">
        <w:trPr>
          <w:trHeight w:val="13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王文敏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澳门科技大学教授、人工智能博士课程主任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1955年1月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9A5EDA">
              <w:rPr>
                <w:rFonts w:ascii="仿宋_GB2312" w:eastAsia="仿宋_GB2312" w:cs="宋体"/>
                <w:kern w:val="0"/>
                <w:sz w:val="20"/>
                <w:szCs w:val="20"/>
              </w:rPr>
              <w:t>人工智能、机器学习、计算机视觉、多媒体信息处理</w:t>
            </w:r>
            <w:r w:rsidR="009A5EDA"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。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主持或参与国家、省部级、市级以及澳门科研项目十余项，在人工智能相关的顶级国际会议或 JCR-1 区期刊等发表论文六十余篇，授权发明专利十余项，出版《人工智能原理》教材一部，主讲《人工智能原理》被教育部认定为“国家精品在线开放课程”。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人工智能的发展与趋势</w:t>
            </w:r>
          </w:p>
        </w:tc>
      </w:tr>
      <w:tr w:rsidR="00F01608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任骅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深圳新风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和睦家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医院 医疗总监  北京和睦家医院 new hope肿瘤中心 副主任医师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1973年12月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AC2FB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曾任中国医学科学院肿瘤医院深圳医院医务部长、副主任医师，主持/主要参与多项课题，在《中华放射肿瘤学杂志》等以第一或责任作者发表论文若干篇，参与编写 《肿瘤放射治疗学》等学术著作8部。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肿瘤健康讲座</w:t>
            </w:r>
          </w:p>
        </w:tc>
      </w:tr>
      <w:tr w:rsidR="00F01608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 w:rsid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徐华林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广东内伶仃福田国家级自然保护区管理局林业高级工程师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1978年1月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608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红树林保育、生物多样性保护、野生动物监测、自然保护区管理、滨海湿地生态修复、青少年科普教育及自然教育。</w:t>
            </w:r>
            <w:r w:rsidR="00AC2FB1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先后主持和参与国家、省、市级课题10余项，发表论文29篇，撰写专著3部。曾获深圳市科技进步一等奖、“科普中国”全国林业和草原科普微视频创新创业大赛二等奖、广东科普作品创作大赛三等奖等。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1608" w:rsidRDefault="00AC2FB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红树林保育、生物多样性保护、野生动物监测、自然保护区管理、滨海湿地生态修复</w:t>
            </w:r>
          </w:p>
        </w:tc>
      </w:tr>
      <w:tr w:rsidR="001628F2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张波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深圳博物馆副研究馆员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1979年10月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 w:rsidP="00B92D4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在深圳博物馆从事文博工作十余年，策划了十多个有社会影响力的科普展览，在国内外专业杂志发表高水平学术论文20余篇，申请专利3项。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 w:rsidP="00B92D4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动物学</w:t>
            </w:r>
          </w:p>
        </w:tc>
      </w:tr>
      <w:tr w:rsidR="001628F2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李春来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深港产学研基地，深圳市系统芯片设计重点实验室高级电子工程师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1976年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628F2"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  <w:t>研究领域为激光雷达，量子探测，原子芯片，超材料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承担科技项目10余项，发表论文50余篇，授权专利60余件。第二届国际第三代半导体创新创业大赛团队组三等奖，第九届深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创赛行业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决赛一等奖，总决赛二等奖，2014CITE 产品创新与应用金奖。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量子为什么会纠缠</w:t>
            </w:r>
          </w:p>
        </w:tc>
      </w:tr>
      <w:tr w:rsidR="001628F2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马光金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深港产业学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基地副研究员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1986年2月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 w:rsidP="001628F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628F2">
              <w:rPr>
                <w:rFonts w:ascii="仿宋_GB2312" w:eastAsia="仿宋_GB2312" w:cs="宋体"/>
                <w:kern w:val="0"/>
                <w:sz w:val="20"/>
                <w:szCs w:val="20"/>
              </w:rPr>
              <w:t>中国科学院上海光机所博士，北京大学博士后，马普量子光学所访问学者，德国亥姆霍兹学会电子同步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1628F2">
              <w:rPr>
                <w:rFonts w:ascii="仿宋_GB2312" w:eastAsia="仿宋_GB2312" w:cs="宋体"/>
                <w:kern w:val="0"/>
                <w:sz w:val="20"/>
                <w:szCs w:val="20"/>
              </w:rPr>
              <w:t>加速器中心博士后。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从事阿秒物理研究，主持国家、广东省和深圳市各类科研项目五项，在《自然·通讯》等期刊发表学术论文30余篇，是多个国际知名期刊审稿人。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阿秒物理</w:t>
            </w:r>
          </w:p>
        </w:tc>
      </w:tr>
      <w:tr w:rsidR="001628F2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马英新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中国科学院深圳先进技术研究院合成生物学研究所 副研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1987年6月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分子病毒学、合成生物学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。中国生物工程学会青年工作委员会委员，主持6项科技项目，在国内外专业期刊发表学术论文30余篇，申请专利10项。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分子病毒学、合成生物学</w:t>
            </w:r>
          </w:p>
        </w:tc>
      </w:tr>
      <w:tr w:rsidR="001628F2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王久娟（女）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中国科学院深圳先进技术研究院副研究员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九三学社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1984年10月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Pr="001628F2" w:rsidRDefault="001628F2" w:rsidP="001628F2">
            <w:pPr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628F2">
              <w:rPr>
                <w:rFonts w:ascii="仿宋_GB2312" w:eastAsia="仿宋_GB2312" w:cs="宋体"/>
                <w:kern w:val="0"/>
                <w:sz w:val="20"/>
                <w:szCs w:val="20"/>
              </w:rPr>
              <w:t>主要研究领域为海洋环境科学，研究方向为海洋大数据分析与数据挖掘，海洋环境遥感、海洋生态动力学</w:t>
            </w:r>
            <w:r>
              <w:rPr>
                <w:rFonts w:ascii="仿宋_GB2312" w:eastAsia="仿宋_GB2312" w:cs="宋体" w:hint="eastAsia"/>
                <w:kern w:val="0"/>
                <w:sz w:val="20"/>
                <w:szCs w:val="20"/>
              </w:rPr>
              <w:t>。</w:t>
            </w:r>
          </w:p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主持完成国家自然科学基金目 1 项，主持在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科创委基础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研究项目 3 项，主持或参与省部级项目 10 余项。发表学术论文 10 余篇，出版学术专著 3 部，申请专利 2 项，讲授的多门“博士课堂”被先进院选为精品课程代表，连续两年获先进院“科学传播贡献奖。”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动感海洋</w:t>
            </w:r>
          </w:p>
        </w:tc>
      </w:tr>
      <w:tr w:rsidR="001628F2">
        <w:trPr>
          <w:trHeight w:val="12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胡昱（女）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中国科学院深圳先进技术研究院助理研究员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1990年1月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研究领域为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中枢神经系统疾病的机制研究及基因治疗的开发和改造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。在《Scientific Reports》《Nature Communication》《Genesis》等期刊发表学术论文6篇，其中第一作者文章4篇。目前主持1项国家青年基金，1项中国博士后基金会面上项目，参与2项国家自然科学基金项目，1项深圳市基础学科布局。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中枢神经系统疾病的机制研究及基因治疗的开发和改造</w:t>
            </w:r>
          </w:p>
        </w:tc>
      </w:tr>
      <w:tr w:rsidR="001628F2">
        <w:trPr>
          <w:trHeight w:val="14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林雨晨（女）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中国科学院深圳先进技术研究院助理研究员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1988年10月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</w:t>
            </w:r>
            <w:r w:rsidRPr="001628F2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基础生物学研究，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发表学术论文6篇，其中第一作者文章3篇，编写英文专著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章节，中国科技核心期刊《实用肿瘤学杂志》审稿人。获广东省科普讲解大赛二等奖、中国科学院广州分院科普讲解大赛一等奖，中科院深圳先进院联合中华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儿慈会科技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筑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梦举办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的公益项目形象大使。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基础生物学</w:t>
            </w:r>
          </w:p>
        </w:tc>
      </w:tr>
      <w:tr w:rsidR="001628F2">
        <w:trPr>
          <w:trHeight w:val="14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杨明星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中国地质大学（武汉）珠宝学院原院长、教授、博士生导师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1961年3月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从事宝石学教学、研究和检测工作30年，发表论文50多篇，专著1本、合著2本，发明专利2项，发布的标准5部。近年主讲课程有：《宝石优化处理技术》、《玉石学》和《宝石颜色成因及研究方法》；研究重点为和玉石和绿松石的质量评价、产地溯源及玉文化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珠宝与乡村振兴</w:t>
            </w:r>
          </w:p>
        </w:tc>
      </w:tr>
      <w:tr w:rsidR="001628F2">
        <w:trPr>
          <w:trHeight w:val="144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董范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中国地质大学（武汉）体育学院原院长、教授、中国登山户外运动学院院长</w:t>
            </w:r>
          </w:p>
          <w:p w:rsidR="001628F2" w:rsidRDefault="001628F2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博士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1961年2月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研究的主要领域为体育教学与训练（登山户外运动方向），编写并出版 9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部专业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教材，主持省部级以上课题 5 项，获国家级教学成果二等奖 1 次，获湖北省教学成果一等奖 2 次，获湖北省教学成果二等奖 2 次，主持的《大学体育特色项目》获“省级精品课程”，《登山运动》获“省级一流本科课程”，《户外运动》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课程获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“国家级精品课程”（第 2 完成人），作为主要负责人制定国家户外营地标准，在核心期刊以上刊物发表学术论文 20 余篇，推动创办了国内首个户外 </w:t>
            </w:r>
          </w:p>
          <w:p w:rsidR="001628F2" w:rsidRDefault="001628F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运动本科专业方向及登山户外运动方向硕士、博士点。董范教授与其率领的地大登山队成为世界上首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独立组队完成“7+2”登山科考项目的大学登山队，创下了人类极限探险的新纪录，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8F2" w:rsidRDefault="001628F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珠峰与登山精神</w:t>
            </w:r>
          </w:p>
        </w:tc>
      </w:tr>
    </w:tbl>
    <w:p w:rsidR="00F01608" w:rsidRDefault="00F01608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bookmarkEnd w:id="0"/>
    </w:p>
    <w:sectPr w:rsidR="00F01608" w:rsidSect="00F016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CF" w:rsidRDefault="001F1ECF" w:rsidP="00FB450C">
      <w:r>
        <w:separator/>
      </w:r>
    </w:p>
  </w:endnote>
  <w:endnote w:type="continuationSeparator" w:id="0">
    <w:p w:rsidR="001F1ECF" w:rsidRDefault="001F1ECF" w:rsidP="00FB4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CF" w:rsidRDefault="001F1ECF" w:rsidP="00FB450C">
      <w:r>
        <w:separator/>
      </w:r>
    </w:p>
  </w:footnote>
  <w:footnote w:type="continuationSeparator" w:id="0">
    <w:p w:rsidR="001F1ECF" w:rsidRDefault="001F1ECF" w:rsidP="00FB45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4E4"/>
    <w:rsid w:val="00014D9F"/>
    <w:rsid w:val="000940B9"/>
    <w:rsid w:val="000C560B"/>
    <w:rsid w:val="001628F2"/>
    <w:rsid w:val="00171701"/>
    <w:rsid w:val="00196902"/>
    <w:rsid w:val="001E40A1"/>
    <w:rsid w:val="001F1ECF"/>
    <w:rsid w:val="00215937"/>
    <w:rsid w:val="00315A9E"/>
    <w:rsid w:val="003D30E1"/>
    <w:rsid w:val="006504E4"/>
    <w:rsid w:val="0068135A"/>
    <w:rsid w:val="008305DA"/>
    <w:rsid w:val="0089732F"/>
    <w:rsid w:val="008B7038"/>
    <w:rsid w:val="0090400F"/>
    <w:rsid w:val="009A5EDA"/>
    <w:rsid w:val="009B5DAA"/>
    <w:rsid w:val="00AA2DBC"/>
    <w:rsid w:val="00AC2FB1"/>
    <w:rsid w:val="00B606E8"/>
    <w:rsid w:val="00BA6634"/>
    <w:rsid w:val="00BB63B3"/>
    <w:rsid w:val="00BD1D78"/>
    <w:rsid w:val="00BD2C17"/>
    <w:rsid w:val="00C36F68"/>
    <w:rsid w:val="00C63644"/>
    <w:rsid w:val="00CA4A3A"/>
    <w:rsid w:val="00CB7A7F"/>
    <w:rsid w:val="00DD6330"/>
    <w:rsid w:val="00EA00E6"/>
    <w:rsid w:val="00F01608"/>
    <w:rsid w:val="00FB450C"/>
    <w:rsid w:val="3DDA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01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1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0160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01608"/>
    <w:rPr>
      <w:sz w:val="18"/>
      <w:szCs w:val="18"/>
    </w:rPr>
  </w:style>
  <w:style w:type="character" w:customStyle="1" w:styleId="fontstyle01">
    <w:name w:val="fontstyle01"/>
    <w:basedOn w:val="a0"/>
    <w:rsid w:val="001628F2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</dc:creator>
  <cp:lastModifiedBy>900</cp:lastModifiedBy>
  <cp:revision>18</cp:revision>
  <cp:lastPrinted>2021-11-09T03:26:00Z</cp:lastPrinted>
  <dcterms:created xsi:type="dcterms:W3CDTF">2021-11-02T10:19:00Z</dcterms:created>
  <dcterms:modified xsi:type="dcterms:W3CDTF">2021-11-16T09:16:00Z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7A05894A3FF54919939FF8CAB31356A0</vt:lpwstr>
  </property>
</Properties>
</file>