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2024年深圳“最美科技工作者”</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推荐人选简要事迹规范</w:t>
      </w:r>
    </w:p>
    <w:p>
      <w:pPr>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简要事迹字数约500字，包括基本信息、曾获荣誉、事迹介绍3个部分。简要事迹材料一律用第三人称叙述，既要有生动感人的事迹，又要有准确的数据为依据；简要事迹和推荐表中主要事迹的各种数据要统一；确保不弄虚作假、不含混不清、不夸大其词、不包装涂粉、不人为拔高；做到主题突出、事迹真实、表述清晰、数据准确、格式规范、文字严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1.基本信息：包括姓名、所在单位和职务、职称、主要研究领域。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2.曾获荣誉：列举推荐人选所获省部级及以上重要荣誉，不需注明授予单位和时间。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3.事迹介绍：对推荐人选事迹的高度凝练，需紧扣推荐领域，叙述其主要事迹、所作贡献和社会影响，避免出现主要事迹内容与推荐领域不符、简要事迹和推荐表中主要事迹内容不符的情况。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各单位及候选人要高度重视，参考以下简要事迹范文认真做好事迹材料撰写工作。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一、面向世界科技前沿（突出前沿领域和基础研究）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XXX，XX中心副主任、研究员。主要从事国家重大科技基础设施建设项目“中国散裂中子源（CSNS）”靶站、谱仪的设计、建设及应用研究，十年磨一剑铸“国之重器”，以“零基础” 实现“零的突破”，在大科学装置设计与建设、中子物理理论与实验研究、中子技术与应用等方面作出重要贡献。获广东省科技进步特等奖、全国专业技术人才先进集体等多项奖励。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在担任CSNS实验分总体副主任、中子物理系统负责人后，从北京南下广东，全身心投入到靶站、谱仪设计、建设及应用研究的工作中，每年只有约一个月的时间与家人相聚，也常常在凌晨乘坐最后一班航班赶往北京的家，工作繁忙时多次过家门而不入。但他并无怨言，而是十几年如一日地潜心钻研、奋力攻关，为实现我国高功率靶站多项零的突破挥洒着青春的汗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负责CSNS靶站、谱仪的开放运行，组织谱仪开展中子散射多学科应用研究，组织建设8台合作谱仪，带领团队完成了千余项用户课题，取得了大批重要用户研究成果，为一批国家战略需求方向的重大科学和技术问题解决提供关键平台与技术支撑，科学产出远超国际同类装置同期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二、面向经济主战场（突出科技成果转化应用和社会服务）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XXX，XX研究院副总工程师、研究员。他专注于纳米改性重防腐材料与功能高分子材料研发及应用，致力让科研成果对接企业需求，使成果落地并实现产业化，以一项项过硬的科研成果协助企业及政府应对防腐蚀难题，为我国电力、石化、交通、水务等多个领域的建设发展作出积极贡献。主持完成19项科技项目，获授权发明专利22件；荣获国家科学技术进步二等奖等多项奖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面向市场需求，他带领团队进一步完善了以纳米改性导电高分子防腐型基复合接地体材料为核心的服务体系，结合新型耐蚀接地极材料应用、腐蚀在线监测设备及腐蚀控制一体化技术，为电力、石化、通信、铁路等行业的企业单位提供从安装到监测的“全方位服务”。他还带领团队开发出重防腐型、新能源电池绝缘型、高端装饰型、耐高温型等功能粉末涂料，相关成果在新能源汽车、建材家居等行业有广阔的应用前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他瞄准粤港澳大湾区“万亿智造”的需求，在广东腐蚀科学与技术创新研究院这个新型研发机构平台，推动前沿技术转移转化，形成“人才聚集+技术聚集+产业聚集+资本聚集”的研究与产业融通的创新模式。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三、面向国家重大需求（突出突破关键核心技术）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XXX，XX研究所副所长、研究员。研究方向为土壤中矿物—微生物间电子传递、元素循环、污染物转化的机制及其环境效应。曾获国家杰出青年科学基金、广东省杰出青年科学基金、广东省丁颖科技奖，以及广东省科学技术一等奖、中国专利优秀奖、广东省专利金奖等多项奖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围绕土壤矿物、有机质和微生物的相互作用及环境效应等基础土壤学的重大科学问题开展研究工作。带领研究团队创建实时、原位监测活菌外膜蛋白的漫透射光谱新方法；在活菌外膜蛋白驱动铁循环新证据、矿物加速电子传递新机制、腐殖质介导电子穿梭新途径等方面形成了系统性的创新，深化了矿物—微生物间电子传递的环境地球科学理论，进一步促进土壤化学、土壤微生物学的交叉发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面对土壤污染防治与粮食安全等国家重大战略需求，他在低温常压下成功制备纳米钛硅水溶胶，为团队开展稻田重金属污染防治技术奠定坚实基础；带领团队研制铁改性生物质炭、铁氮复合材料，可显著降低土壤有效态镉砷含量，使中轻度污染稻田的稻米镉、砷同步达标，为土壤污染治理提供了新产品与新思路，在实现重金属等污染物定向调控的同时，促进农作物的生长和粮食的安全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auto"/>
          <w:sz w:val="32"/>
          <w:szCs w:val="32"/>
          <w:lang w:val="en-US" w:eastAsia="zh-CN"/>
        </w:rPr>
      </w:pPr>
      <w:r>
        <w:rPr>
          <w:rStyle w:val="7"/>
          <w:rFonts w:hint="eastAsia" w:ascii="黑体" w:hAnsi="黑体" w:eastAsia="黑体" w:cs="黑体"/>
          <w:b w:val="0"/>
          <w:bCs/>
          <w:color w:val="auto"/>
          <w:kern w:val="0"/>
          <w:sz w:val="32"/>
          <w:szCs w:val="32"/>
          <w:shd w:val="clear" w:color="auto" w:fill="FFFFFF"/>
          <w:lang w:val="en-US" w:eastAsia="zh-CN" w:bidi="ar"/>
        </w:rPr>
        <w:t>四、面向人民生命健康（突出保护人民群众生命安全和身体健康）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XXX，XX医院党委委员、副院长。从医20余年，始终坚守在口腔临床医学领域一线，秉持着“从临床中来，到临床中去”的原则，取得多项原创性、有影响力的科研成果，为十万余人解决口腔问题。相关研究已发表学术文章290余篇，共获得12项国家发明专利，10项实用新型专利。多次入选爱思唯尔中国高被引学者，在全国口腔医学领域学者论文学术影响力排名第5，被授予“国家有突出贡献中青年专家”荣誉称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主导研发美学氧化锆瓷块系列产品、高强度低模量亲水种植体系统，突破了国产材料研发和生产的关键技术壁垒，解决了我国口腔生物材料受欧美国家技术掣肘的卡脖子问题，让科研成果走入临床，真正做到科技惠民，大医精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他与团队研发出了透光性及机械性能优异的国产氧化锆坯体，打破了国外相关品牌的技术垄断，并推出了国内首个具有产品安全性高、价格便宜、修复效果好等优势的美学氧化锆瓷块系列产品。成功让国产氧化锆产品市场占比从原来的10%左右上升到60%以上，价格较进口产品下降了一半，让数百万患者看得起牙，用得起好材料，镶得起一口耐用逼真的牙。</w:t>
      </w:r>
    </w:p>
    <w:p>
      <w:bookmarkStart w:id="0" w:name="_GoBack"/>
      <w:bookmarkEnd w:id="0"/>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EAD58A-4787-482C-A886-F6546B70F1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E928FB6-02BA-4746-9875-9EC5C5E0D341}"/>
  </w:font>
  <w:font w:name="仿宋">
    <w:panose1 w:val="02010609060101010101"/>
    <w:charset w:val="86"/>
    <w:family w:val="auto"/>
    <w:pitch w:val="default"/>
    <w:sig w:usb0="800002BF" w:usb1="38CF7CFA" w:usb2="00000016" w:usb3="00000000" w:csb0="00040001" w:csb1="00000000"/>
    <w:embedRegular r:id="rId3" w:fontKey="{C072506E-70E2-4DBF-B7B3-E4C5FCD76C1D}"/>
  </w:font>
  <w:font w:name="方正小标宋简体">
    <w:panose1 w:val="02000000000000000000"/>
    <w:charset w:val="86"/>
    <w:family w:val="auto"/>
    <w:pitch w:val="default"/>
    <w:sig w:usb0="00000001" w:usb1="08000000" w:usb2="00000000" w:usb3="00000000" w:csb0="00040000" w:csb1="00000000"/>
    <w:embedRegular r:id="rId4" w:fontKey="{6C81E7D2-A717-41A5-B257-533FF99A265C}"/>
  </w:font>
  <w:font w:name="仿宋_GB2312">
    <w:panose1 w:val="02010609030101010101"/>
    <w:charset w:val="86"/>
    <w:family w:val="modern"/>
    <w:pitch w:val="default"/>
    <w:sig w:usb0="00000001" w:usb1="080E0000" w:usb2="00000000" w:usb3="00000000" w:csb0="00040000" w:csb1="00000000"/>
    <w:embedRegular r:id="rId5" w:fontKey="{C16F6C9B-C78D-4352-BB95-2737D154AE29}"/>
  </w:font>
  <w:font w:name="Segoe UI Light">
    <w:panose1 w:val="020B0502040204020203"/>
    <w:charset w:val="00"/>
    <w:family w:val="auto"/>
    <w:pitch w:val="default"/>
    <w:sig w:usb0="E4002EFF" w:usb1="C000E47F"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bidi w:val="0"/>
                            <w:adjustRightInd/>
                            <w:snapToGrid w:val="0"/>
                            <w:ind w:right="210" w:rightChars="100"/>
                            <w:jc w:val="both"/>
                            <w:textAlignment w:val="auto"/>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right="210" w:rightChars="100"/>
                      <w:jc w:val="both"/>
                      <w:textAlignment w:val="auto"/>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bidi w:val="0"/>
                            <w:adjustRightInd/>
                            <w:snapToGrid w:val="0"/>
                            <w:ind w:left="210" w:lef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bidi w:val="0"/>
                      <w:adjustRightInd/>
                      <w:snapToGrid w:val="0"/>
                      <w:ind w:left="210" w:lef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19F65C24"/>
    <w:rsid w:val="19F6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spacing w:beforeLines="0" w:afterLines="0"/>
      <w:ind w:left="134"/>
    </w:pPr>
    <w:rPr>
      <w:rFonts w:hint="eastAsia" w:ascii="仿宋" w:eastAsia="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2024-03-28T04:29:00Z</dcterms:created>
  <dc:creator>Lo</dc:creator>
  <cp:lastModifiedBy>Lo</cp:lastModifiedBy>
  <dcterms:modified xsi:type="dcterms:W3CDTF">2024-03-28T04:32:20Z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2770846F454A4672BF6818B805B4E2EC_11</vt:lpwstr>
  </property>
</Properties>
</file>